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0D" w:rsidRPr="00CF0915" w:rsidRDefault="009F4A0D" w:rsidP="00257BCE">
      <w:pPr>
        <w:jc w:val="center"/>
        <w:rPr>
          <w:rFonts w:ascii="Times New Roman" w:hAnsi="Times New Roman"/>
          <w:b/>
          <w:u w:val="single"/>
        </w:rPr>
      </w:pPr>
      <w:r w:rsidRPr="00CF0915">
        <w:rPr>
          <w:rFonts w:ascii="Times New Roman" w:hAnsi="Times New Roman"/>
          <w:b/>
          <w:u w:val="single"/>
        </w:rPr>
        <w:t>RESOLUCIÓN DE APOYO AL CORREDOR DE FERROCARRIL</w:t>
      </w:r>
    </w:p>
    <w:p w:rsidR="009F4A0D" w:rsidRPr="00CF0915" w:rsidRDefault="009F4A0D" w:rsidP="00257BCE">
      <w:pPr>
        <w:jc w:val="center"/>
        <w:rPr>
          <w:rFonts w:ascii="Times New Roman" w:hAnsi="Times New Roman"/>
          <w:b/>
          <w:u w:val="single"/>
        </w:rPr>
      </w:pPr>
      <w:r w:rsidRPr="00CF0915">
        <w:rPr>
          <w:rFonts w:ascii="Times New Roman" w:hAnsi="Times New Roman"/>
          <w:b/>
          <w:u w:val="single"/>
        </w:rPr>
        <w:t>CANTÁBRICO-MEDITERRÁNEO</w:t>
      </w:r>
    </w:p>
    <w:p w:rsidR="009F4A0D" w:rsidRPr="00CF0915" w:rsidRDefault="009F4A0D" w:rsidP="00F47BD9">
      <w:pPr>
        <w:spacing w:line="240" w:lineRule="auto"/>
        <w:jc w:val="both"/>
        <w:rPr>
          <w:rFonts w:ascii="Times New Roman" w:hAnsi="Times New Roman"/>
        </w:rPr>
      </w:pPr>
      <w:r w:rsidRPr="00CF0915">
        <w:rPr>
          <w:rFonts w:ascii="Times New Roman" w:hAnsi="Times New Roman"/>
        </w:rPr>
        <w:tab/>
        <w:t>El transporte es un sector clave de actividad: aporta una importante contribución a la economía (4,8% del valor añadido bruto para el conjunto de los veintiocho países de la Unión Europea, equivalente a 548.000 millones de euros) y genera más de 11 millones de puestos de trabajo en Europa.</w:t>
      </w:r>
    </w:p>
    <w:p w:rsidR="009F4A0D" w:rsidRPr="00CF0915" w:rsidRDefault="009F4A0D" w:rsidP="00F47BD9">
      <w:pPr>
        <w:spacing w:line="240" w:lineRule="auto"/>
        <w:ind w:firstLine="708"/>
        <w:jc w:val="both"/>
        <w:rPr>
          <w:rFonts w:ascii="Times New Roman" w:hAnsi="Times New Roman"/>
        </w:rPr>
      </w:pPr>
      <w:r w:rsidRPr="00CF0915">
        <w:rPr>
          <w:rFonts w:ascii="Times New Roman" w:hAnsi="Times New Roman"/>
        </w:rPr>
        <w:t>La Comisión Europea en su estrategia global “Transporte para 2050” establece los siguientes objetivos: a largo plazo, completar una red europea de ferrocarriles de alta velocidad; a medio plazo (de aquí a 2030), triplicar la longitud de la red de alta velocidad y mantener una red ferroviaria densa en todos los Estados miembros. En ella se propone además que, para 2050, la mayor parte del transporte de pasajeros de media distancia se realice por ferrocarril.</w:t>
      </w:r>
    </w:p>
    <w:p w:rsidR="009F4A0D" w:rsidRPr="00CF0915" w:rsidRDefault="009F4A0D" w:rsidP="00F47BD9">
      <w:pPr>
        <w:pStyle w:val="NormalWeb"/>
        <w:spacing w:before="126" w:beforeAutospacing="0" w:after="126" w:afterAutospacing="0"/>
        <w:jc w:val="both"/>
        <w:textAlignment w:val="baseline"/>
        <w:rPr>
          <w:sz w:val="22"/>
          <w:szCs w:val="22"/>
        </w:rPr>
      </w:pPr>
      <w:r w:rsidRPr="00CF0915">
        <w:rPr>
          <w:sz w:val="22"/>
          <w:szCs w:val="22"/>
        </w:rPr>
        <w:tab/>
        <w:t>El Corredor Cantábrico – Mediterráneo enlaza los Corredores prioritarios Atlántico y Mediterráneo dentro del marco de la Política Europea del Transporte y tiene como objetivos e</w:t>
      </w:r>
      <w:r w:rsidRPr="00CF0915">
        <w:rPr>
          <w:bCs/>
          <w:kern w:val="24"/>
          <w:sz w:val="22"/>
          <w:szCs w:val="22"/>
        </w:rPr>
        <w:t xml:space="preserve">stablecer </w:t>
      </w:r>
      <w:r w:rsidRPr="00CF0915">
        <w:rPr>
          <w:bCs/>
          <w:kern w:val="24"/>
          <w:sz w:val="22"/>
          <w:szCs w:val="22"/>
          <w:lang w:val="es-ES_tradnl"/>
        </w:rPr>
        <w:t xml:space="preserve">parámetros homogéneos en los trazados e instalaciones ferroviarias existentes hasta ahora para </w:t>
      </w:r>
      <w:proofErr w:type="gramStart"/>
      <w:r w:rsidRPr="00CF0915">
        <w:rPr>
          <w:bCs/>
          <w:kern w:val="24"/>
          <w:sz w:val="22"/>
          <w:szCs w:val="22"/>
          <w:lang w:val="es-ES_tradnl"/>
        </w:rPr>
        <w:t>conformar</w:t>
      </w:r>
      <w:proofErr w:type="gramEnd"/>
      <w:r w:rsidRPr="00CF0915">
        <w:rPr>
          <w:bCs/>
          <w:kern w:val="24"/>
          <w:sz w:val="22"/>
          <w:szCs w:val="22"/>
          <w:lang w:val="es-ES_tradnl"/>
        </w:rPr>
        <w:t xml:space="preserve"> un Corredor competitivo y sin cuellos de botella, logrando así uno de los principales ejes transversales de la Red Ferroviaria,  que </w:t>
      </w:r>
      <w:r w:rsidRPr="00CF0915">
        <w:rPr>
          <w:bCs/>
          <w:kern w:val="24"/>
          <w:sz w:val="22"/>
          <w:szCs w:val="22"/>
        </w:rPr>
        <w:t xml:space="preserve">rompe con la </w:t>
      </w:r>
      <w:proofErr w:type="spellStart"/>
      <w:r w:rsidRPr="00CF0915">
        <w:rPr>
          <w:bCs/>
          <w:kern w:val="24"/>
          <w:sz w:val="22"/>
          <w:szCs w:val="22"/>
        </w:rPr>
        <w:t>radialidad</w:t>
      </w:r>
      <w:proofErr w:type="spellEnd"/>
      <w:r w:rsidRPr="00CF0915">
        <w:rPr>
          <w:bCs/>
          <w:kern w:val="24"/>
          <w:sz w:val="22"/>
          <w:szCs w:val="22"/>
        </w:rPr>
        <w:t xml:space="preserve"> de la red actual española.</w:t>
      </w:r>
    </w:p>
    <w:p w:rsidR="009F4A0D" w:rsidRPr="00CF0915" w:rsidRDefault="009F4A0D" w:rsidP="006E67E9">
      <w:pPr>
        <w:spacing w:line="240" w:lineRule="auto"/>
        <w:ind w:firstLine="708"/>
        <w:jc w:val="both"/>
        <w:rPr>
          <w:rFonts w:ascii="Times New Roman" w:hAnsi="Times New Roman"/>
        </w:rPr>
      </w:pPr>
      <w:r w:rsidRPr="00CF0915">
        <w:rPr>
          <w:rFonts w:ascii="Times New Roman" w:hAnsi="Times New Roman"/>
        </w:rPr>
        <w:t xml:space="preserve">Ha sido comprometido por tres Ministros de Fomento consecutivos, Dª Magdalena Álvarez (2004), Dª José Blanco (2009) y Dº </w:t>
      </w:r>
      <w:proofErr w:type="spellStart"/>
      <w:r w:rsidRPr="00CF0915">
        <w:rPr>
          <w:rFonts w:ascii="Times New Roman" w:hAnsi="Times New Roman"/>
        </w:rPr>
        <w:t>Ínigo</w:t>
      </w:r>
      <w:proofErr w:type="spellEnd"/>
      <w:r w:rsidRPr="00CF0915">
        <w:rPr>
          <w:rFonts w:ascii="Times New Roman" w:hAnsi="Times New Roman"/>
        </w:rPr>
        <w:t xml:space="preserve"> de la Serna (2017), llegando a afirmar éste último, que es un corredor </w:t>
      </w:r>
      <w:r w:rsidRPr="00CF0915">
        <w:rPr>
          <w:rFonts w:ascii="Times New Roman" w:hAnsi="Times New Roman"/>
          <w:i/>
        </w:rPr>
        <w:t>“estratégico y prioritario para el Gobierno de España”</w:t>
      </w:r>
      <w:r w:rsidRPr="00CF0915">
        <w:rPr>
          <w:rFonts w:ascii="Times New Roman" w:hAnsi="Times New Roman"/>
        </w:rPr>
        <w:t>.</w:t>
      </w:r>
    </w:p>
    <w:p w:rsidR="009F4A0D" w:rsidRPr="00CF0915" w:rsidRDefault="009F4A0D" w:rsidP="00F47BD9">
      <w:pPr>
        <w:spacing w:line="240" w:lineRule="auto"/>
        <w:jc w:val="both"/>
        <w:rPr>
          <w:rFonts w:ascii="Times New Roman" w:hAnsi="Times New Roman"/>
        </w:rPr>
      </w:pPr>
      <w:r w:rsidRPr="00CF0915">
        <w:rPr>
          <w:rFonts w:ascii="Times New Roman" w:hAnsi="Times New Roman"/>
        </w:rPr>
        <w:tab/>
        <w:t>Su realización tiene las siguientes virtudes:</w:t>
      </w:r>
    </w:p>
    <w:p w:rsidR="009F4A0D" w:rsidRPr="00911364" w:rsidRDefault="009F4A0D" w:rsidP="00911364">
      <w:pPr>
        <w:numPr>
          <w:ilvl w:val="0"/>
          <w:numId w:val="1"/>
        </w:numPr>
        <w:spacing w:line="240" w:lineRule="auto"/>
        <w:jc w:val="both"/>
        <w:rPr>
          <w:rFonts w:ascii="Times New Roman" w:hAnsi="Times New Roman"/>
        </w:rPr>
      </w:pPr>
      <w:r w:rsidRPr="00911364">
        <w:rPr>
          <w:rFonts w:ascii="Times New Roman" w:hAnsi="Times New Roman"/>
        </w:rPr>
        <w:t xml:space="preserve">Contribuye a un desarrollo económico equilibrado, como herramienta al servicio de la  superación de la crisis y </w:t>
      </w:r>
      <w:r>
        <w:rPr>
          <w:rFonts w:ascii="Times New Roman" w:hAnsi="Times New Roman"/>
        </w:rPr>
        <w:t>p</w:t>
      </w:r>
      <w:r w:rsidRPr="00911364">
        <w:rPr>
          <w:rFonts w:ascii="Times New Roman" w:hAnsi="Times New Roman"/>
        </w:rPr>
        <w:t>rom</w:t>
      </w:r>
      <w:r>
        <w:rPr>
          <w:rFonts w:ascii="Times New Roman" w:hAnsi="Times New Roman"/>
        </w:rPr>
        <w:t xml:space="preserve">ueve </w:t>
      </w:r>
      <w:r w:rsidRPr="00911364">
        <w:rPr>
          <w:rFonts w:ascii="Times New Roman" w:hAnsi="Times New Roman"/>
        </w:rPr>
        <w:t>una</w:t>
      </w:r>
      <w:r w:rsidRPr="00911364">
        <w:rPr>
          <w:rFonts w:ascii="Times New Roman" w:hAnsi="Times New Roman"/>
        </w:rPr>
        <w:tab/>
        <w:t>movilidad</w:t>
      </w:r>
      <w:r>
        <w:rPr>
          <w:rFonts w:ascii="Times New Roman" w:hAnsi="Times New Roman"/>
        </w:rPr>
        <w:t xml:space="preserve"> </w:t>
      </w:r>
      <w:r w:rsidRPr="00911364">
        <w:rPr>
          <w:rFonts w:ascii="Times New Roman" w:hAnsi="Times New Roman"/>
        </w:rPr>
        <w:t>sostenible</w:t>
      </w:r>
      <w:r>
        <w:rPr>
          <w:rFonts w:ascii="Times New Roman" w:hAnsi="Times New Roman"/>
        </w:rPr>
        <w:t xml:space="preserve"> </w:t>
      </w:r>
      <w:r w:rsidRPr="00911364">
        <w:rPr>
          <w:rFonts w:ascii="Times New Roman" w:hAnsi="Times New Roman"/>
        </w:rPr>
        <w:t>compatibilizando</w:t>
      </w:r>
      <w:r>
        <w:rPr>
          <w:rFonts w:ascii="Times New Roman" w:hAnsi="Times New Roman"/>
        </w:rPr>
        <w:t xml:space="preserve"> </w:t>
      </w:r>
      <w:r w:rsidRPr="00911364">
        <w:rPr>
          <w:rFonts w:ascii="Times New Roman" w:hAnsi="Times New Roman"/>
        </w:rPr>
        <w:t>sus</w:t>
      </w:r>
      <w:r>
        <w:rPr>
          <w:rFonts w:ascii="Times New Roman" w:hAnsi="Times New Roman"/>
        </w:rPr>
        <w:t xml:space="preserve"> </w:t>
      </w:r>
      <w:r w:rsidRPr="00911364">
        <w:rPr>
          <w:rFonts w:ascii="Times New Roman" w:hAnsi="Times New Roman"/>
        </w:rPr>
        <w:t>efectos</w:t>
      </w:r>
      <w:r>
        <w:rPr>
          <w:rFonts w:ascii="Times New Roman" w:hAnsi="Times New Roman"/>
        </w:rPr>
        <w:t xml:space="preserve"> </w:t>
      </w:r>
      <w:r w:rsidRPr="00911364">
        <w:rPr>
          <w:rFonts w:ascii="Times New Roman" w:hAnsi="Times New Roman"/>
        </w:rPr>
        <w:t>económicos</w:t>
      </w:r>
      <w:r>
        <w:rPr>
          <w:rFonts w:ascii="Times New Roman" w:hAnsi="Times New Roman"/>
        </w:rPr>
        <w:t xml:space="preserve"> </w:t>
      </w:r>
      <w:r w:rsidRPr="00911364">
        <w:rPr>
          <w:rFonts w:ascii="Times New Roman" w:hAnsi="Times New Roman"/>
        </w:rPr>
        <w:t>y</w:t>
      </w:r>
      <w:r>
        <w:rPr>
          <w:rFonts w:ascii="Times New Roman" w:hAnsi="Times New Roman"/>
        </w:rPr>
        <w:t xml:space="preserve"> </w:t>
      </w:r>
      <w:r w:rsidRPr="00911364">
        <w:rPr>
          <w:rFonts w:ascii="Times New Roman" w:hAnsi="Times New Roman"/>
        </w:rPr>
        <w:t>sociales</w:t>
      </w:r>
      <w:r>
        <w:rPr>
          <w:rFonts w:ascii="Times New Roman" w:hAnsi="Times New Roman"/>
        </w:rPr>
        <w:t xml:space="preserve"> </w:t>
      </w:r>
      <w:r w:rsidRPr="00911364">
        <w:rPr>
          <w:rFonts w:ascii="Times New Roman" w:hAnsi="Times New Roman"/>
        </w:rPr>
        <w:t>con</w:t>
      </w:r>
      <w:r>
        <w:rPr>
          <w:rFonts w:ascii="Times New Roman" w:hAnsi="Times New Roman"/>
        </w:rPr>
        <w:t xml:space="preserve"> </w:t>
      </w:r>
      <w:r w:rsidRPr="00911364">
        <w:rPr>
          <w:rFonts w:ascii="Times New Roman" w:hAnsi="Times New Roman"/>
        </w:rPr>
        <w:t>el</w:t>
      </w:r>
      <w:r>
        <w:rPr>
          <w:rFonts w:ascii="Times New Roman" w:hAnsi="Times New Roman"/>
        </w:rPr>
        <w:t xml:space="preserve"> </w:t>
      </w:r>
      <w:r w:rsidRPr="00911364">
        <w:rPr>
          <w:rFonts w:ascii="Times New Roman" w:hAnsi="Times New Roman"/>
        </w:rPr>
        <w:t>respeto</w:t>
      </w:r>
      <w:r>
        <w:rPr>
          <w:rFonts w:ascii="Times New Roman" w:hAnsi="Times New Roman"/>
        </w:rPr>
        <w:t xml:space="preserve"> </w:t>
      </w:r>
      <w:r w:rsidRPr="00911364">
        <w:rPr>
          <w:rFonts w:ascii="Times New Roman" w:hAnsi="Times New Roman"/>
        </w:rPr>
        <w:t>al</w:t>
      </w:r>
      <w:r w:rsidRPr="00911364">
        <w:rPr>
          <w:rFonts w:ascii="Times New Roman" w:hAnsi="Times New Roman"/>
        </w:rPr>
        <w:tab/>
        <w:t>medio</w:t>
      </w:r>
      <w:r>
        <w:rPr>
          <w:rFonts w:ascii="Times New Roman" w:hAnsi="Times New Roman"/>
        </w:rPr>
        <w:t xml:space="preserve"> </w:t>
      </w:r>
      <w:r w:rsidRPr="00911364">
        <w:rPr>
          <w:rFonts w:ascii="Times New Roman" w:hAnsi="Times New Roman"/>
        </w:rPr>
        <w:t>ambiente.</w:t>
      </w:r>
      <w:r w:rsidRPr="00911364">
        <w:rPr>
          <w:rFonts w:ascii="Times New Roman" w:hAnsi="Times New Roman"/>
        </w:rPr>
        <w:tab/>
      </w:r>
    </w:p>
    <w:p w:rsidR="009F4A0D" w:rsidRPr="00CF0915" w:rsidRDefault="009F4A0D" w:rsidP="00911364">
      <w:pPr>
        <w:numPr>
          <w:ilvl w:val="0"/>
          <w:numId w:val="1"/>
        </w:numPr>
        <w:spacing w:line="240" w:lineRule="auto"/>
        <w:jc w:val="both"/>
        <w:rPr>
          <w:rFonts w:ascii="Times New Roman" w:hAnsi="Times New Roman"/>
        </w:rPr>
      </w:pPr>
      <w:r w:rsidRPr="00911364">
        <w:rPr>
          <w:rFonts w:ascii="Times New Roman" w:hAnsi="Times New Roman"/>
        </w:rPr>
        <w:t>Ref</w:t>
      </w:r>
      <w:r>
        <w:rPr>
          <w:rFonts w:ascii="Times New Roman" w:hAnsi="Times New Roman"/>
        </w:rPr>
        <w:t xml:space="preserve">uerza </w:t>
      </w:r>
      <w:r w:rsidRPr="00911364">
        <w:rPr>
          <w:rFonts w:ascii="Times New Roman" w:hAnsi="Times New Roman"/>
        </w:rPr>
        <w:t>la</w:t>
      </w:r>
      <w:r>
        <w:rPr>
          <w:rFonts w:ascii="Times New Roman" w:hAnsi="Times New Roman"/>
        </w:rPr>
        <w:t xml:space="preserve"> </w:t>
      </w:r>
      <w:r w:rsidRPr="00911364">
        <w:rPr>
          <w:rFonts w:ascii="Times New Roman" w:hAnsi="Times New Roman"/>
        </w:rPr>
        <w:t>cohesión</w:t>
      </w:r>
      <w:r>
        <w:rPr>
          <w:rFonts w:ascii="Times New Roman" w:hAnsi="Times New Roman"/>
        </w:rPr>
        <w:t xml:space="preserve"> </w:t>
      </w:r>
      <w:r w:rsidRPr="00911364">
        <w:rPr>
          <w:rFonts w:ascii="Times New Roman" w:hAnsi="Times New Roman"/>
        </w:rPr>
        <w:t>territorial</w:t>
      </w:r>
      <w:r w:rsidRPr="00911364">
        <w:rPr>
          <w:rFonts w:ascii="Times New Roman" w:hAnsi="Times New Roman"/>
        </w:rPr>
        <w:tab/>
        <w:t>y</w:t>
      </w:r>
      <w:r>
        <w:rPr>
          <w:rFonts w:ascii="Times New Roman" w:hAnsi="Times New Roman"/>
        </w:rPr>
        <w:t xml:space="preserve"> </w:t>
      </w:r>
      <w:r w:rsidRPr="00911364">
        <w:rPr>
          <w:rFonts w:ascii="Times New Roman" w:hAnsi="Times New Roman"/>
        </w:rPr>
        <w:t>la</w:t>
      </w:r>
      <w:r>
        <w:rPr>
          <w:rFonts w:ascii="Times New Roman" w:hAnsi="Times New Roman"/>
        </w:rPr>
        <w:t xml:space="preserve"> </w:t>
      </w:r>
      <w:r w:rsidRPr="00911364">
        <w:rPr>
          <w:rFonts w:ascii="Times New Roman" w:hAnsi="Times New Roman"/>
        </w:rPr>
        <w:t>accesibilidad</w:t>
      </w:r>
      <w:r>
        <w:rPr>
          <w:rFonts w:ascii="Times New Roman" w:hAnsi="Times New Roman"/>
        </w:rPr>
        <w:t xml:space="preserve"> </w:t>
      </w:r>
      <w:r w:rsidRPr="00911364">
        <w:rPr>
          <w:rFonts w:ascii="Times New Roman" w:hAnsi="Times New Roman"/>
        </w:rPr>
        <w:t>de</w:t>
      </w:r>
      <w:r>
        <w:rPr>
          <w:rFonts w:ascii="Times New Roman" w:hAnsi="Times New Roman"/>
        </w:rPr>
        <w:t xml:space="preserve"> </w:t>
      </w:r>
      <w:r w:rsidRPr="00911364">
        <w:rPr>
          <w:rFonts w:ascii="Times New Roman" w:hAnsi="Times New Roman"/>
        </w:rPr>
        <w:t>todos</w:t>
      </w:r>
      <w:r>
        <w:rPr>
          <w:rFonts w:ascii="Times New Roman" w:hAnsi="Times New Roman"/>
        </w:rPr>
        <w:t xml:space="preserve"> </w:t>
      </w:r>
      <w:r w:rsidRPr="00911364">
        <w:rPr>
          <w:rFonts w:ascii="Times New Roman" w:hAnsi="Times New Roman"/>
        </w:rPr>
        <w:t>los</w:t>
      </w:r>
      <w:r>
        <w:rPr>
          <w:rFonts w:ascii="Times New Roman" w:hAnsi="Times New Roman"/>
        </w:rPr>
        <w:t xml:space="preserve"> </w:t>
      </w:r>
      <w:r w:rsidRPr="00911364">
        <w:rPr>
          <w:rFonts w:ascii="Times New Roman" w:hAnsi="Times New Roman"/>
        </w:rPr>
        <w:t>territorios</w:t>
      </w:r>
      <w:r>
        <w:rPr>
          <w:rFonts w:ascii="Times New Roman" w:hAnsi="Times New Roman"/>
        </w:rPr>
        <w:t xml:space="preserve"> </w:t>
      </w:r>
      <w:r w:rsidRPr="00911364">
        <w:rPr>
          <w:rFonts w:ascii="Times New Roman" w:hAnsi="Times New Roman"/>
        </w:rPr>
        <w:t>del</w:t>
      </w:r>
      <w:r>
        <w:rPr>
          <w:rFonts w:ascii="Times New Roman" w:hAnsi="Times New Roman"/>
        </w:rPr>
        <w:t xml:space="preserve"> </w:t>
      </w:r>
      <w:r w:rsidRPr="00911364">
        <w:rPr>
          <w:rFonts w:ascii="Times New Roman" w:hAnsi="Times New Roman"/>
        </w:rPr>
        <w:t>Estado</w:t>
      </w:r>
      <w:r>
        <w:rPr>
          <w:rFonts w:ascii="Times New Roman" w:hAnsi="Times New Roman"/>
        </w:rPr>
        <w:t xml:space="preserve"> </w:t>
      </w:r>
      <w:r w:rsidRPr="00911364">
        <w:rPr>
          <w:rFonts w:ascii="Times New Roman" w:hAnsi="Times New Roman"/>
        </w:rPr>
        <w:t>a</w:t>
      </w:r>
      <w:r>
        <w:rPr>
          <w:rFonts w:ascii="Times New Roman" w:hAnsi="Times New Roman"/>
        </w:rPr>
        <w:t xml:space="preserve"> </w:t>
      </w:r>
      <w:r w:rsidRPr="00911364">
        <w:rPr>
          <w:rFonts w:ascii="Times New Roman" w:hAnsi="Times New Roman"/>
        </w:rPr>
        <w:t>través</w:t>
      </w:r>
      <w:r>
        <w:rPr>
          <w:rFonts w:ascii="Times New Roman" w:hAnsi="Times New Roman"/>
        </w:rPr>
        <w:t xml:space="preserve"> </w:t>
      </w:r>
      <w:r w:rsidRPr="00911364">
        <w:rPr>
          <w:rFonts w:ascii="Times New Roman" w:hAnsi="Times New Roman"/>
        </w:rPr>
        <w:t>del</w:t>
      </w:r>
      <w:r>
        <w:rPr>
          <w:rFonts w:ascii="Times New Roman" w:hAnsi="Times New Roman"/>
        </w:rPr>
        <w:t xml:space="preserve"> </w:t>
      </w:r>
      <w:r w:rsidRPr="00911364">
        <w:rPr>
          <w:rFonts w:ascii="Times New Roman" w:hAnsi="Times New Roman"/>
        </w:rPr>
        <w:t>Sistema</w:t>
      </w:r>
      <w:r>
        <w:rPr>
          <w:rFonts w:ascii="Times New Roman" w:hAnsi="Times New Roman"/>
        </w:rPr>
        <w:t xml:space="preserve"> </w:t>
      </w:r>
      <w:r w:rsidRPr="00911364">
        <w:rPr>
          <w:rFonts w:ascii="Times New Roman" w:hAnsi="Times New Roman"/>
        </w:rPr>
        <w:t>de</w:t>
      </w:r>
      <w:r>
        <w:rPr>
          <w:rFonts w:ascii="Times New Roman" w:hAnsi="Times New Roman"/>
        </w:rPr>
        <w:t xml:space="preserve"> </w:t>
      </w:r>
      <w:r w:rsidRPr="00911364">
        <w:rPr>
          <w:rFonts w:ascii="Times New Roman" w:hAnsi="Times New Roman"/>
        </w:rPr>
        <w:t>transporte</w:t>
      </w:r>
      <w:r>
        <w:rPr>
          <w:rFonts w:ascii="Times New Roman" w:hAnsi="Times New Roman"/>
        </w:rPr>
        <w:t>.</w:t>
      </w:r>
    </w:p>
    <w:p w:rsidR="009F4A0D" w:rsidRPr="00CF0915" w:rsidRDefault="009F4A0D" w:rsidP="00F47BD9">
      <w:pPr>
        <w:numPr>
          <w:ilvl w:val="0"/>
          <w:numId w:val="1"/>
        </w:numPr>
        <w:spacing w:line="240" w:lineRule="auto"/>
        <w:ind w:left="697" w:hanging="357"/>
        <w:jc w:val="both"/>
        <w:rPr>
          <w:rFonts w:ascii="Times New Roman" w:hAnsi="Times New Roman"/>
        </w:rPr>
      </w:pPr>
      <w:r w:rsidRPr="00CF0915">
        <w:rPr>
          <w:rFonts w:ascii="Times New Roman" w:hAnsi="Times New Roman"/>
        </w:rPr>
        <w:t xml:space="preserve">Une seis Comunidades Autónomas (Cantabria, País Vasco, Rioja, Navarra, Aragón y Valencia) que suponen el 27 % del P.I.B. nacional y 10 </w:t>
      </w:r>
      <w:proofErr w:type="spellStart"/>
      <w:r w:rsidRPr="00CF0915">
        <w:rPr>
          <w:rFonts w:ascii="Times New Roman" w:hAnsi="Times New Roman"/>
        </w:rPr>
        <w:t>mll</w:t>
      </w:r>
      <w:proofErr w:type="spellEnd"/>
      <w:r w:rsidRPr="00CF0915">
        <w:rPr>
          <w:rFonts w:ascii="Times New Roman" w:hAnsi="Times New Roman"/>
        </w:rPr>
        <w:t>. de habitantes.</w:t>
      </w:r>
    </w:p>
    <w:p w:rsidR="009F4A0D" w:rsidRPr="00CF0915" w:rsidRDefault="009F4A0D" w:rsidP="00F47BD9">
      <w:pPr>
        <w:numPr>
          <w:ilvl w:val="0"/>
          <w:numId w:val="1"/>
        </w:numPr>
        <w:spacing w:line="240" w:lineRule="auto"/>
        <w:ind w:left="697" w:hanging="357"/>
        <w:jc w:val="both"/>
        <w:rPr>
          <w:rFonts w:ascii="Times New Roman" w:hAnsi="Times New Roman"/>
        </w:rPr>
      </w:pPr>
      <w:r w:rsidRPr="00CF0915">
        <w:rPr>
          <w:rFonts w:ascii="Times New Roman" w:hAnsi="Times New Roman"/>
        </w:rPr>
        <w:t>Une seis puertos de importancia internacional: Valencia, Sagunto, Castellón, Bilbao, Pasajes  y Santander.</w:t>
      </w:r>
    </w:p>
    <w:p w:rsidR="009F4A0D" w:rsidRPr="00CF0915" w:rsidRDefault="009F4A0D" w:rsidP="00F47BD9">
      <w:pPr>
        <w:numPr>
          <w:ilvl w:val="0"/>
          <w:numId w:val="1"/>
        </w:numPr>
        <w:spacing w:line="240" w:lineRule="auto"/>
        <w:ind w:left="697" w:hanging="357"/>
        <w:jc w:val="both"/>
        <w:rPr>
          <w:rFonts w:ascii="Times New Roman" w:hAnsi="Times New Roman"/>
        </w:rPr>
      </w:pPr>
      <w:r w:rsidRPr="00CF0915">
        <w:rPr>
          <w:rFonts w:ascii="Times New Roman" w:hAnsi="Times New Roman"/>
        </w:rPr>
        <w:t>Significará el desarrollo de infraestructuras logísticas en todo su recorrido.</w:t>
      </w:r>
    </w:p>
    <w:p w:rsidR="009F4A0D" w:rsidRPr="00CF0915" w:rsidRDefault="009F4A0D" w:rsidP="00F47BD9">
      <w:pPr>
        <w:pStyle w:val="Prrafodelista"/>
        <w:numPr>
          <w:ilvl w:val="0"/>
          <w:numId w:val="1"/>
        </w:numPr>
        <w:ind w:left="697" w:hanging="357"/>
        <w:jc w:val="both"/>
        <w:rPr>
          <w:sz w:val="22"/>
          <w:szCs w:val="22"/>
        </w:rPr>
      </w:pPr>
      <w:r w:rsidRPr="00CF0915">
        <w:rPr>
          <w:sz w:val="22"/>
          <w:szCs w:val="22"/>
          <w:lang w:val="es-ES_tradnl"/>
        </w:rPr>
        <w:t xml:space="preserve">Mejora sustancialmente la conexión de pasajeros pasando de las más de 9 horas que supone actualmente la relación Valencia - Bilbao, a menos de 4 horas. </w:t>
      </w:r>
    </w:p>
    <w:p w:rsidR="009F4A0D" w:rsidRPr="00CF0915" w:rsidRDefault="009F4A0D" w:rsidP="006E67E9">
      <w:pPr>
        <w:pStyle w:val="Prrafodelista"/>
        <w:ind w:left="697"/>
        <w:jc w:val="both"/>
        <w:rPr>
          <w:sz w:val="22"/>
          <w:szCs w:val="22"/>
        </w:rPr>
      </w:pPr>
    </w:p>
    <w:p w:rsidR="009F4A0D" w:rsidRPr="00CF0915" w:rsidRDefault="009F4A0D" w:rsidP="00F47BD9">
      <w:pPr>
        <w:numPr>
          <w:ilvl w:val="0"/>
          <w:numId w:val="1"/>
        </w:numPr>
        <w:spacing w:line="240" w:lineRule="auto"/>
        <w:ind w:left="697" w:hanging="357"/>
        <w:jc w:val="both"/>
        <w:rPr>
          <w:rFonts w:ascii="Times New Roman" w:hAnsi="Times New Roman"/>
        </w:rPr>
      </w:pPr>
      <w:r w:rsidRPr="00CF0915">
        <w:rPr>
          <w:rFonts w:ascii="Times New Roman" w:hAnsi="Times New Roman"/>
          <w:lang w:val="es-ES_tradnl"/>
        </w:rPr>
        <w:t xml:space="preserve">La relación Bilbao-Santander, que en la actualidad sólo se presta por la infraestructura de vía estrecha de FEVE con un tiempo de recorrido de casi tres horas, se verá reducida a menos de una hora e integrándose en la Red </w:t>
      </w:r>
      <w:proofErr w:type="spellStart"/>
      <w:r w:rsidRPr="00CF0915">
        <w:rPr>
          <w:rFonts w:ascii="Times New Roman" w:hAnsi="Times New Roman"/>
          <w:lang w:val="es-ES_tradnl"/>
        </w:rPr>
        <w:t>Adif</w:t>
      </w:r>
      <w:proofErr w:type="spellEnd"/>
      <w:r w:rsidRPr="00CF0915">
        <w:rPr>
          <w:rFonts w:ascii="Times New Roman" w:hAnsi="Times New Roman"/>
          <w:lang w:val="es-ES_tradnl"/>
        </w:rPr>
        <w:t>.</w:t>
      </w:r>
    </w:p>
    <w:p w:rsidR="009F4A0D" w:rsidRDefault="009F4A0D" w:rsidP="00F47BD9">
      <w:pPr>
        <w:numPr>
          <w:ilvl w:val="0"/>
          <w:numId w:val="1"/>
        </w:numPr>
        <w:spacing w:line="240" w:lineRule="auto"/>
        <w:ind w:left="697" w:hanging="357"/>
        <w:jc w:val="both"/>
        <w:rPr>
          <w:rFonts w:ascii="Times New Roman" w:hAnsi="Times New Roman"/>
        </w:rPr>
      </w:pPr>
      <w:r w:rsidRPr="00CF0915">
        <w:rPr>
          <w:rFonts w:ascii="Times New Roman" w:hAnsi="Times New Roman"/>
        </w:rPr>
        <w:t xml:space="preserve">Potenciaría y reforzaría la reapertura del </w:t>
      </w:r>
      <w:proofErr w:type="spellStart"/>
      <w:r w:rsidRPr="00CF0915">
        <w:rPr>
          <w:rFonts w:ascii="Times New Roman" w:hAnsi="Times New Roman"/>
        </w:rPr>
        <w:t>Canfranc</w:t>
      </w:r>
      <w:proofErr w:type="spellEnd"/>
      <w:r w:rsidRPr="00CF0915">
        <w:rPr>
          <w:rFonts w:ascii="Times New Roman" w:hAnsi="Times New Roman"/>
        </w:rPr>
        <w:t xml:space="preserve"> y/o Travesía Central del Pirineo, además de vertebrar más y mejor el territorio nacional y ayudar a la cohesión de territorios enclavados, como la provincia de Teruel.</w:t>
      </w:r>
    </w:p>
    <w:p w:rsidR="009F4A0D" w:rsidRPr="00CF0915" w:rsidRDefault="009F4A0D" w:rsidP="00F47BD9">
      <w:pPr>
        <w:spacing w:line="240" w:lineRule="auto"/>
        <w:jc w:val="both"/>
        <w:rPr>
          <w:rFonts w:ascii="Times New Roman" w:hAnsi="Times New Roman"/>
          <w:b/>
        </w:rPr>
      </w:pPr>
    </w:p>
    <w:p w:rsidR="009F4A0D" w:rsidRPr="00CF0915" w:rsidRDefault="009F4A0D" w:rsidP="00CF0915">
      <w:pPr>
        <w:spacing w:line="240" w:lineRule="auto"/>
        <w:ind w:firstLine="340"/>
        <w:jc w:val="both"/>
        <w:rPr>
          <w:rFonts w:ascii="Times New Roman" w:hAnsi="Times New Roman"/>
        </w:rPr>
      </w:pPr>
      <w:r w:rsidRPr="00CF0915">
        <w:rPr>
          <w:rFonts w:ascii="Times New Roman" w:hAnsi="Times New Roman"/>
          <w:b/>
        </w:rPr>
        <w:t>Por todo ello,</w:t>
      </w:r>
      <w:r>
        <w:rPr>
          <w:rFonts w:ascii="Times New Roman" w:hAnsi="Times New Roman"/>
          <w:b/>
        </w:rPr>
        <w:t xml:space="preserve"> </w:t>
      </w:r>
      <w:r w:rsidRPr="00CF0915">
        <w:rPr>
          <w:rFonts w:ascii="Times New Roman" w:hAnsi="Times New Roman"/>
          <w:b/>
        </w:rPr>
        <w:t>la</w:t>
      </w:r>
      <w:r w:rsidRPr="00CF0915">
        <w:rPr>
          <w:rFonts w:ascii="Times New Roman" w:hAnsi="Times New Roman"/>
        </w:rPr>
        <w:t xml:space="preserve"> </w:t>
      </w:r>
      <w:r w:rsidRPr="00CF0915">
        <w:rPr>
          <w:rFonts w:ascii="Times New Roman" w:hAnsi="Times New Roman"/>
          <w:b/>
          <w:bCs/>
        </w:rPr>
        <w:t xml:space="preserve">Confederación Estatal de Asociaciones de Vecinos (CEAV), </w:t>
      </w:r>
      <w:r w:rsidRPr="00CF0915">
        <w:rPr>
          <w:rFonts w:ascii="Times New Roman" w:hAnsi="Times New Roman"/>
          <w:bCs/>
        </w:rPr>
        <w:t xml:space="preserve">en su reunión </w:t>
      </w:r>
      <w:r>
        <w:rPr>
          <w:rFonts w:ascii="Times New Roman" w:hAnsi="Times New Roman"/>
          <w:bCs/>
        </w:rPr>
        <w:t xml:space="preserve">los días 11 y 12 de noviembre </w:t>
      </w:r>
      <w:r w:rsidRPr="00CF0915">
        <w:rPr>
          <w:rFonts w:ascii="Times New Roman" w:hAnsi="Times New Roman"/>
          <w:bCs/>
        </w:rPr>
        <w:t xml:space="preserve">en </w:t>
      </w:r>
      <w:r>
        <w:rPr>
          <w:rFonts w:ascii="Times New Roman" w:hAnsi="Times New Roman"/>
          <w:bCs/>
        </w:rPr>
        <w:t>Segovia</w:t>
      </w:r>
      <w:bookmarkStart w:id="0" w:name="_GoBack"/>
      <w:bookmarkEnd w:id="0"/>
      <w:r w:rsidRPr="00CF0915">
        <w:rPr>
          <w:rFonts w:ascii="Times New Roman" w:hAnsi="Times New Roman"/>
          <w:bCs/>
        </w:rPr>
        <w:t>, acuerda apoyar unánimemente, como proyecto estratégico, la realización en su integridad del Corredor de ferrocarril Cantábrico-Mediterráneo de tráfico mixto pasajeros-mercancías en doble vía y electrificada</w:t>
      </w:r>
      <w:r>
        <w:rPr>
          <w:rFonts w:ascii="Times New Roman" w:hAnsi="Times New Roman"/>
          <w:bCs/>
        </w:rPr>
        <w:t xml:space="preserve"> y que ésta se realice en tiempo y forma uniforme en todo el corredor</w:t>
      </w:r>
      <w:r w:rsidRPr="00CF0915">
        <w:rPr>
          <w:rFonts w:ascii="Times New Roman" w:hAnsi="Times New Roman"/>
          <w:bCs/>
        </w:rPr>
        <w:t>.</w:t>
      </w:r>
    </w:p>
    <w:sectPr w:rsidR="009F4A0D" w:rsidRPr="00CF0915" w:rsidSect="00CF0915">
      <w:pgSz w:w="11906" w:h="16838"/>
      <w:pgMar w:top="851"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483"/>
    <w:multiLevelType w:val="hybridMultilevel"/>
    <w:tmpl w:val="48BCB62E"/>
    <w:lvl w:ilvl="0" w:tplc="77D46D28">
      <w:start w:val="1"/>
      <w:numFmt w:val="bullet"/>
      <w:lvlText w:val="•"/>
      <w:lvlJc w:val="left"/>
      <w:pPr>
        <w:tabs>
          <w:tab w:val="num" w:pos="720"/>
        </w:tabs>
        <w:ind w:left="720" w:hanging="360"/>
      </w:pPr>
      <w:rPr>
        <w:rFonts w:ascii="Arial" w:hAnsi="Arial" w:hint="default"/>
      </w:rPr>
    </w:lvl>
    <w:lvl w:ilvl="1" w:tplc="23AAA380" w:tentative="1">
      <w:start w:val="1"/>
      <w:numFmt w:val="bullet"/>
      <w:lvlText w:val="•"/>
      <w:lvlJc w:val="left"/>
      <w:pPr>
        <w:tabs>
          <w:tab w:val="num" w:pos="1440"/>
        </w:tabs>
        <w:ind w:left="1440" w:hanging="360"/>
      </w:pPr>
      <w:rPr>
        <w:rFonts w:ascii="Arial" w:hAnsi="Arial" w:hint="default"/>
      </w:rPr>
    </w:lvl>
    <w:lvl w:ilvl="2" w:tplc="E57EAAAE" w:tentative="1">
      <w:start w:val="1"/>
      <w:numFmt w:val="bullet"/>
      <w:lvlText w:val="•"/>
      <w:lvlJc w:val="left"/>
      <w:pPr>
        <w:tabs>
          <w:tab w:val="num" w:pos="2160"/>
        </w:tabs>
        <w:ind w:left="2160" w:hanging="360"/>
      </w:pPr>
      <w:rPr>
        <w:rFonts w:ascii="Arial" w:hAnsi="Arial" w:hint="default"/>
      </w:rPr>
    </w:lvl>
    <w:lvl w:ilvl="3" w:tplc="5DB20D8A" w:tentative="1">
      <w:start w:val="1"/>
      <w:numFmt w:val="bullet"/>
      <w:lvlText w:val="•"/>
      <w:lvlJc w:val="left"/>
      <w:pPr>
        <w:tabs>
          <w:tab w:val="num" w:pos="2880"/>
        </w:tabs>
        <w:ind w:left="2880" w:hanging="360"/>
      </w:pPr>
      <w:rPr>
        <w:rFonts w:ascii="Arial" w:hAnsi="Arial" w:hint="default"/>
      </w:rPr>
    </w:lvl>
    <w:lvl w:ilvl="4" w:tplc="C6DEC654" w:tentative="1">
      <w:start w:val="1"/>
      <w:numFmt w:val="bullet"/>
      <w:lvlText w:val="•"/>
      <w:lvlJc w:val="left"/>
      <w:pPr>
        <w:tabs>
          <w:tab w:val="num" w:pos="3600"/>
        </w:tabs>
        <w:ind w:left="3600" w:hanging="360"/>
      </w:pPr>
      <w:rPr>
        <w:rFonts w:ascii="Arial" w:hAnsi="Arial" w:hint="default"/>
      </w:rPr>
    </w:lvl>
    <w:lvl w:ilvl="5" w:tplc="150A8EE0" w:tentative="1">
      <w:start w:val="1"/>
      <w:numFmt w:val="bullet"/>
      <w:lvlText w:val="•"/>
      <w:lvlJc w:val="left"/>
      <w:pPr>
        <w:tabs>
          <w:tab w:val="num" w:pos="4320"/>
        </w:tabs>
        <w:ind w:left="4320" w:hanging="360"/>
      </w:pPr>
      <w:rPr>
        <w:rFonts w:ascii="Arial" w:hAnsi="Arial" w:hint="default"/>
      </w:rPr>
    </w:lvl>
    <w:lvl w:ilvl="6" w:tplc="A4D4D2A6" w:tentative="1">
      <w:start w:val="1"/>
      <w:numFmt w:val="bullet"/>
      <w:lvlText w:val="•"/>
      <w:lvlJc w:val="left"/>
      <w:pPr>
        <w:tabs>
          <w:tab w:val="num" w:pos="5040"/>
        </w:tabs>
        <w:ind w:left="5040" w:hanging="360"/>
      </w:pPr>
      <w:rPr>
        <w:rFonts w:ascii="Arial" w:hAnsi="Arial" w:hint="default"/>
      </w:rPr>
    </w:lvl>
    <w:lvl w:ilvl="7" w:tplc="D97E3A64" w:tentative="1">
      <w:start w:val="1"/>
      <w:numFmt w:val="bullet"/>
      <w:lvlText w:val="•"/>
      <w:lvlJc w:val="left"/>
      <w:pPr>
        <w:tabs>
          <w:tab w:val="num" w:pos="5760"/>
        </w:tabs>
        <w:ind w:left="5760" w:hanging="360"/>
      </w:pPr>
      <w:rPr>
        <w:rFonts w:ascii="Arial" w:hAnsi="Arial" w:hint="default"/>
      </w:rPr>
    </w:lvl>
    <w:lvl w:ilvl="8" w:tplc="6478CDEC" w:tentative="1">
      <w:start w:val="1"/>
      <w:numFmt w:val="bullet"/>
      <w:lvlText w:val="•"/>
      <w:lvlJc w:val="left"/>
      <w:pPr>
        <w:tabs>
          <w:tab w:val="num" w:pos="6480"/>
        </w:tabs>
        <w:ind w:left="6480" w:hanging="360"/>
      </w:pPr>
      <w:rPr>
        <w:rFonts w:ascii="Arial" w:hAnsi="Arial" w:hint="default"/>
      </w:rPr>
    </w:lvl>
  </w:abstractNum>
  <w:abstractNum w:abstractNumId="1">
    <w:nsid w:val="61CF10A3"/>
    <w:multiLevelType w:val="hybridMultilevel"/>
    <w:tmpl w:val="02A2575E"/>
    <w:lvl w:ilvl="0" w:tplc="19088E60">
      <w:start w:val="1"/>
      <w:numFmt w:val="bullet"/>
      <w:lvlText w:val="•"/>
      <w:lvlJc w:val="left"/>
      <w:pPr>
        <w:tabs>
          <w:tab w:val="num" w:pos="720"/>
        </w:tabs>
        <w:ind w:left="720" w:hanging="360"/>
      </w:pPr>
      <w:rPr>
        <w:rFonts w:ascii="Arial" w:hAnsi="Arial" w:hint="default"/>
      </w:rPr>
    </w:lvl>
    <w:lvl w:ilvl="1" w:tplc="8EAAB424" w:tentative="1">
      <w:start w:val="1"/>
      <w:numFmt w:val="bullet"/>
      <w:lvlText w:val="•"/>
      <w:lvlJc w:val="left"/>
      <w:pPr>
        <w:tabs>
          <w:tab w:val="num" w:pos="1440"/>
        </w:tabs>
        <w:ind w:left="1440" w:hanging="360"/>
      </w:pPr>
      <w:rPr>
        <w:rFonts w:ascii="Arial" w:hAnsi="Arial" w:hint="default"/>
      </w:rPr>
    </w:lvl>
    <w:lvl w:ilvl="2" w:tplc="485E961E" w:tentative="1">
      <w:start w:val="1"/>
      <w:numFmt w:val="bullet"/>
      <w:lvlText w:val="•"/>
      <w:lvlJc w:val="left"/>
      <w:pPr>
        <w:tabs>
          <w:tab w:val="num" w:pos="2160"/>
        </w:tabs>
        <w:ind w:left="2160" w:hanging="360"/>
      </w:pPr>
      <w:rPr>
        <w:rFonts w:ascii="Arial" w:hAnsi="Arial" w:hint="default"/>
      </w:rPr>
    </w:lvl>
    <w:lvl w:ilvl="3" w:tplc="A44A40DA" w:tentative="1">
      <w:start w:val="1"/>
      <w:numFmt w:val="bullet"/>
      <w:lvlText w:val="•"/>
      <w:lvlJc w:val="left"/>
      <w:pPr>
        <w:tabs>
          <w:tab w:val="num" w:pos="2880"/>
        </w:tabs>
        <w:ind w:left="2880" w:hanging="360"/>
      </w:pPr>
      <w:rPr>
        <w:rFonts w:ascii="Arial" w:hAnsi="Arial" w:hint="default"/>
      </w:rPr>
    </w:lvl>
    <w:lvl w:ilvl="4" w:tplc="382C4F1A" w:tentative="1">
      <w:start w:val="1"/>
      <w:numFmt w:val="bullet"/>
      <w:lvlText w:val="•"/>
      <w:lvlJc w:val="left"/>
      <w:pPr>
        <w:tabs>
          <w:tab w:val="num" w:pos="3600"/>
        </w:tabs>
        <w:ind w:left="3600" w:hanging="360"/>
      </w:pPr>
      <w:rPr>
        <w:rFonts w:ascii="Arial" w:hAnsi="Arial" w:hint="default"/>
      </w:rPr>
    </w:lvl>
    <w:lvl w:ilvl="5" w:tplc="2C96F166" w:tentative="1">
      <w:start w:val="1"/>
      <w:numFmt w:val="bullet"/>
      <w:lvlText w:val="•"/>
      <w:lvlJc w:val="left"/>
      <w:pPr>
        <w:tabs>
          <w:tab w:val="num" w:pos="4320"/>
        </w:tabs>
        <w:ind w:left="4320" w:hanging="360"/>
      </w:pPr>
      <w:rPr>
        <w:rFonts w:ascii="Arial" w:hAnsi="Arial" w:hint="default"/>
      </w:rPr>
    </w:lvl>
    <w:lvl w:ilvl="6" w:tplc="6CC42F30" w:tentative="1">
      <w:start w:val="1"/>
      <w:numFmt w:val="bullet"/>
      <w:lvlText w:val="•"/>
      <w:lvlJc w:val="left"/>
      <w:pPr>
        <w:tabs>
          <w:tab w:val="num" w:pos="5040"/>
        </w:tabs>
        <w:ind w:left="5040" w:hanging="360"/>
      </w:pPr>
      <w:rPr>
        <w:rFonts w:ascii="Arial" w:hAnsi="Arial" w:hint="default"/>
      </w:rPr>
    </w:lvl>
    <w:lvl w:ilvl="7" w:tplc="A808E832" w:tentative="1">
      <w:start w:val="1"/>
      <w:numFmt w:val="bullet"/>
      <w:lvlText w:val="•"/>
      <w:lvlJc w:val="left"/>
      <w:pPr>
        <w:tabs>
          <w:tab w:val="num" w:pos="5760"/>
        </w:tabs>
        <w:ind w:left="5760" w:hanging="360"/>
      </w:pPr>
      <w:rPr>
        <w:rFonts w:ascii="Arial" w:hAnsi="Arial" w:hint="default"/>
      </w:rPr>
    </w:lvl>
    <w:lvl w:ilvl="8" w:tplc="62C0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60BEE"/>
    <w:rsid w:val="00161211"/>
    <w:rsid w:val="00257BCE"/>
    <w:rsid w:val="002E175E"/>
    <w:rsid w:val="004943FB"/>
    <w:rsid w:val="005C551C"/>
    <w:rsid w:val="00687170"/>
    <w:rsid w:val="006E67E9"/>
    <w:rsid w:val="007F20AC"/>
    <w:rsid w:val="00911364"/>
    <w:rsid w:val="00941F0E"/>
    <w:rsid w:val="00946FBB"/>
    <w:rsid w:val="00960BEE"/>
    <w:rsid w:val="0096608C"/>
    <w:rsid w:val="009F4A0D"/>
    <w:rsid w:val="00AA4B20"/>
    <w:rsid w:val="00CF0915"/>
    <w:rsid w:val="00F221F0"/>
    <w:rsid w:val="00F47BD9"/>
    <w:rsid w:val="00F678B2"/>
    <w:rsid w:val="00FB5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1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F47BD9"/>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F47BD9"/>
    <w:pPr>
      <w:spacing w:after="0" w:line="240" w:lineRule="auto"/>
      <w:ind w:left="720"/>
      <w:contextualSpacing/>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36829901">
      <w:marLeft w:val="0"/>
      <w:marRight w:val="0"/>
      <w:marTop w:val="0"/>
      <w:marBottom w:val="0"/>
      <w:divBdr>
        <w:top w:val="none" w:sz="0" w:space="0" w:color="auto"/>
        <w:left w:val="none" w:sz="0" w:space="0" w:color="auto"/>
        <w:bottom w:val="none" w:sz="0" w:space="0" w:color="auto"/>
        <w:right w:val="none" w:sz="0" w:space="0" w:color="auto"/>
      </w:divBdr>
      <w:divsChild>
        <w:div w:id="736829905">
          <w:marLeft w:val="0"/>
          <w:marRight w:val="0"/>
          <w:marTop w:val="120"/>
          <w:marBottom w:val="120"/>
          <w:divBdr>
            <w:top w:val="none" w:sz="0" w:space="0" w:color="auto"/>
            <w:left w:val="none" w:sz="0" w:space="0" w:color="auto"/>
            <w:bottom w:val="none" w:sz="0" w:space="0" w:color="auto"/>
            <w:right w:val="none" w:sz="0" w:space="0" w:color="auto"/>
          </w:divBdr>
        </w:div>
      </w:divsChild>
    </w:div>
    <w:div w:id="736829902">
      <w:marLeft w:val="0"/>
      <w:marRight w:val="0"/>
      <w:marTop w:val="0"/>
      <w:marBottom w:val="0"/>
      <w:divBdr>
        <w:top w:val="none" w:sz="0" w:space="0" w:color="auto"/>
        <w:left w:val="none" w:sz="0" w:space="0" w:color="auto"/>
        <w:bottom w:val="none" w:sz="0" w:space="0" w:color="auto"/>
        <w:right w:val="none" w:sz="0" w:space="0" w:color="auto"/>
      </w:divBdr>
    </w:div>
    <w:div w:id="736829903">
      <w:marLeft w:val="0"/>
      <w:marRight w:val="0"/>
      <w:marTop w:val="0"/>
      <w:marBottom w:val="0"/>
      <w:divBdr>
        <w:top w:val="none" w:sz="0" w:space="0" w:color="auto"/>
        <w:left w:val="none" w:sz="0" w:space="0" w:color="auto"/>
        <w:bottom w:val="none" w:sz="0" w:space="0" w:color="auto"/>
        <w:right w:val="none" w:sz="0" w:space="0" w:color="auto"/>
      </w:divBdr>
    </w:div>
    <w:div w:id="736829906">
      <w:marLeft w:val="0"/>
      <w:marRight w:val="0"/>
      <w:marTop w:val="0"/>
      <w:marBottom w:val="0"/>
      <w:divBdr>
        <w:top w:val="none" w:sz="0" w:space="0" w:color="auto"/>
        <w:left w:val="none" w:sz="0" w:space="0" w:color="auto"/>
        <w:bottom w:val="none" w:sz="0" w:space="0" w:color="auto"/>
        <w:right w:val="none" w:sz="0" w:space="0" w:color="auto"/>
      </w:divBdr>
    </w:div>
    <w:div w:id="736829907">
      <w:marLeft w:val="0"/>
      <w:marRight w:val="0"/>
      <w:marTop w:val="0"/>
      <w:marBottom w:val="0"/>
      <w:divBdr>
        <w:top w:val="none" w:sz="0" w:space="0" w:color="auto"/>
        <w:left w:val="none" w:sz="0" w:space="0" w:color="auto"/>
        <w:bottom w:val="none" w:sz="0" w:space="0" w:color="auto"/>
        <w:right w:val="none" w:sz="0" w:space="0" w:color="auto"/>
      </w:divBdr>
      <w:divsChild>
        <w:div w:id="73682990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APOYO AL CORREDOR DE FERROCARRIL</dc:title>
  <dc:creator>Francisco Juárez</dc:creator>
  <cp:lastModifiedBy>Manuel</cp:lastModifiedBy>
  <cp:revision>2</cp:revision>
  <dcterms:created xsi:type="dcterms:W3CDTF">2018-09-24T16:32:00Z</dcterms:created>
  <dcterms:modified xsi:type="dcterms:W3CDTF">2018-09-24T16:32:00Z</dcterms:modified>
</cp:coreProperties>
</file>